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Arial" w:hAnsi="Arial" w:eastAsia="Arial"/>
          <w:b/>
          <w:sz w:val="20"/>
        </w:rPr>
        <w:t>C J P A   G L O B A L   A D V I S O R S   P R E S S   R E L E A S E</w:t>
      </w:r>
    </w:p>
    <w:p>
      <w:pPr>
        <w:spacing w:before="0" w:after="0" w:line="144" w:lineRule="auto"/>
      </w:pPr>
    </w:p>
    <w:p>
      <w:pPr>
        <w:spacing w:before="0" w:after="0" w:line="144" w:lineRule="auto"/>
      </w:pPr>
    </w:p>
    <w:p>
      <w:pPr>
        <w:spacing w:before="0" w:after="0" w:line="144" w:lineRule="auto"/>
      </w:pPr>
    </w:p>
    <w:tbl>
      <w:tblPr>
        <w:tblW w:type="auto" w:w="0"/>
        <w:jc w:val="center"/>
        <w:tblLayout w:type="fixed"/>
        <w:tblLook w:firstColumn="1" w:firstRow="1" w:lastColumn="0" w:lastRow="0" w:noHBand="0" w:noVBand="1" w:val="04A0"/>
      </w:tblPr>
      <w:tblGrid>
        <w:gridCol w:w="10656"/>
      </w:tblGrid>
      <w:tr>
        <w:tc>
          <w:tcPr>
            <w:tcW w:type="dxa" w:w="10656"/>
            <w:vAlign w:val="center"/>
            <w:shd w:fill="F3D51A"/>
            <w:tcBorders>
              <w:top w:val="nil"/>
              <w:left w:val="nil"/>
              <w:bottom w:val="nil"/>
              <w:right w:val="nil"/>
            </w:tcBorders>
            <w:tcMar>
              <w:top w:w="0" w:type="dxa"/>
              <w:left w:w="0" w:type="dxa"/>
              <w:bottom w:w="0" w:type="dxa"/>
              <w:right w:w="0" w:type="dxa"/>
            </w:tcMar>
          </w:tcPr>
          <w:p>
            <w:pPr>
              <w:spacing w:after="0" w:before="0" w:line="240" w:lineRule="auto"/>
            </w:pPr>
          </w:p>
        </w:tc>
      </w:tr>
    </w:tbl>
    <w:p>
      <w:pPr>
        <w:spacing w:before="40" w:after="0" w:line="221" w:lineRule="auto"/>
      </w:pPr>
      <w:r>
        <w:rPr>
          <w:rFonts w:ascii="Times New Roman" w:hAnsi="Times New Roman" w:eastAsia="Times New Roman"/>
          <w:b/>
          <w:i w:val="0"/>
          <w:sz w:val="17"/>
        </w:rPr>
        <w:t>For Immediate Release:</w:t>
        <w:br/>
      </w:r>
      <w:r>
        <w:rPr>
          <w:rFonts w:ascii="Times New Roman" w:hAnsi="Times New Roman" w:eastAsia="Times New Roman"/>
          <w:b/>
          <w:i w:val="0"/>
          <w:sz w:val="17"/>
        </w:rPr>
        <w:t>CJPA Global Advisors Attends Bank of Montreal's (BMO) 21st Annual Global Farm to Market | Chemicals Conference</w:t>
      </w:r>
    </w:p>
    <w:p>
      <w:pPr>
        <w:spacing w:before="20" w:after="0" w:line="221" w:lineRule="auto"/>
      </w:pPr>
      <w:r>
        <w:rPr>
          <w:rFonts w:ascii="Times New Roman" w:hAnsi="Times New Roman" w:eastAsia="Times New Roman"/>
          <w:b/>
          <w:i w:val="0"/>
          <w:sz w:val="17"/>
        </w:rPr>
        <w:t xml:space="preserve">New York City, New York - May 14, 2026 - </w:t>
      </w:r>
      <w:r>
        <w:rPr>
          <w:rFonts w:ascii="Times New Roman" w:hAnsi="Times New Roman" w:eastAsia="Times New Roman"/>
          <w:b w:val="0"/>
          <w:i w:val="0"/>
          <w:sz w:val="17"/>
        </w:rPr>
        <w:t>CJPA Global Advisors' team joined industry leaders across agriculture, food retail, consumer, protein and chemical sectors at Bank of Montreal's 21st Annual Global Farm to Market | Chemicals Conference, held May 13-14, 2026 at the InterContinental New York Barclay. Over two days of company presentations, panel discussions, keynote sessions and 1on1 meetings, CJPA engaged with global food, agriculture and chemicals leaders while assessing market trends relevant to food supply chains, clean fuels, commodity exposure, retail distribution and sustainable agriculture.</w:t>
      </w:r>
    </w:p>
    <w:p>
      <w:pPr>
        <w:spacing w:before="20" w:after="0" w:line="216" w:lineRule="auto"/>
      </w:pPr>
      <w:r>
        <w:rPr>
          <w:rFonts w:ascii="Times New Roman" w:hAnsi="Times New Roman" w:eastAsia="Times New Roman"/>
          <w:b/>
          <w:i w:val="0"/>
          <w:sz w:val="17"/>
        </w:rPr>
        <w:t>Key Engagement Highlights</w:t>
      </w:r>
    </w:p>
    <w:p>
      <w:pPr>
        <w:spacing w:before="0" w:after="0" w:line="206" w:lineRule="auto"/>
        <w:ind w:left="547" w:hanging="259"/>
      </w:pPr>
      <w:r>
        <w:rPr>
          <w:rFonts w:ascii="Times New Roman" w:hAnsi="Times New Roman"/>
          <w:b w:val="0"/>
          <w:i w:val="0"/>
          <w:sz w:val="17"/>
        </w:rPr>
        <w:t>•</w:t>
        <w:tab/>
      </w:r>
      <w:r>
        <w:rPr>
          <w:rFonts w:ascii="Times New Roman" w:hAnsi="Times New Roman"/>
          <w:b/>
          <w:i w:val="0"/>
          <w:sz w:val="17"/>
        </w:rPr>
        <w:t xml:space="preserve">Coaqua Beverage Expansion - </w:t>
      </w:r>
      <w:r>
        <w:rPr>
          <w:rFonts w:ascii="Times New Roman" w:hAnsi="Times New Roman"/>
          <w:b w:val="0"/>
          <w:i w:val="0"/>
          <w:sz w:val="17"/>
        </w:rPr>
        <w:t>Spoke with Justin and Anthony from Coaqua about its flavored coconut-water platform across still, sparkling, citrus, espresso and chocolate variants; discussed festival partnerships, including EDC, and possible CJPA support across market entry, distributor outreach and retail positioning.</w:t>
      </w:r>
    </w:p>
    <w:p>
      <w:pPr>
        <w:spacing w:before="0" w:after="0" w:line="206" w:lineRule="auto"/>
        <w:ind w:left="547" w:hanging="259"/>
      </w:pPr>
      <w:r>
        <w:rPr>
          <w:rFonts w:ascii="Times New Roman" w:hAnsi="Times New Roman"/>
          <w:b w:val="0"/>
          <w:i w:val="0"/>
          <w:sz w:val="17"/>
        </w:rPr>
        <w:t>•</w:t>
        <w:tab/>
      </w:r>
      <w:r>
        <w:rPr>
          <w:rFonts w:ascii="Times New Roman" w:hAnsi="Times New Roman"/>
          <w:b/>
          <w:i w:val="0"/>
          <w:sz w:val="17"/>
        </w:rPr>
        <w:t xml:space="preserve">Day 14 Agriculture &amp; Fertilizer Leadership - </w:t>
      </w:r>
      <w:r>
        <w:rPr>
          <w:rFonts w:ascii="Times New Roman" w:hAnsi="Times New Roman"/>
          <w:b w:val="0"/>
          <w:i w:val="0"/>
          <w:sz w:val="17"/>
        </w:rPr>
        <w:t>Engaged with presentations from BHP Potash, Mosaic, K+S, Bayer Crop Science, Corteva and FMC, including Karina Gistelinck, Luciano Siani Pires, Andy Jung, Rodrigo Santos, Brian Naber, Guru Ramamurthy, Chuck Magro, David Johnson, Pierre Brondeau and Andrew Sandifer.</w:t>
      </w:r>
    </w:p>
    <w:p>
      <w:pPr>
        <w:spacing w:before="0" w:after="0" w:line="206" w:lineRule="auto"/>
        <w:ind w:left="547" w:hanging="259"/>
      </w:pPr>
      <w:r>
        <w:rPr>
          <w:rFonts w:ascii="Times New Roman" w:hAnsi="Times New Roman"/>
          <w:b w:val="0"/>
          <w:i w:val="0"/>
          <w:sz w:val="17"/>
        </w:rPr>
        <w:t>•</w:t>
        <w:tab/>
      </w:r>
      <w:r>
        <w:rPr>
          <w:rFonts w:ascii="Times New Roman" w:hAnsi="Times New Roman"/>
          <w:b/>
          <w:i w:val="0"/>
          <w:sz w:val="17"/>
        </w:rPr>
        <w:t xml:space="preserve">Brazil, West Africa &amp; Farmer Segmentation - </w:t>
      </w:r>
      <w:r>
        <w:rPr>
          <w:rFonts w:ascii="Times New Roman" w:hAnsi="Times New Roman"/>
          <w:b w:val="0"/>
          <w:i w:val="0"/>
          <w:sz w:val="17"/>
        </w:rPr>
        <w:t>Framed market expansion around Mosaic's Brazil platform, Bayer's West Africa Better Life Farming model and the different needs of commercial farmers versus smallholder farmers, from input access and financing to training, logistics and distributor relationships.</w:t>
      </w:r>
    </w:p>
    <w:p>
      <w:pPr>
        <w:spacing w:before="0" w:after="0" w:line="206" w:lineRule="auto"/>
        <w:ind w:left="547" w:hanging="259"/>
      </w:pPr>
      <w:r>
        <w:rPr>
          <w:rFonts w:ascii="Times New Roman" w:hAnsi="Times New Roman"/>
          <w:b w:val="0"/>
          <w:i w:val="0"/>
          <w:sz w:val="17"/>
        </w:rPr>
        <w:t>•</w:t>
        <w:tab/>
      </w:r>
      <w:r>
        <w:rPr>
          <w:rFonts w:ascii="Times New Roman" w:hAnsi="Times New Roman"/>
          <w:b/>
          <w:i w:val="0"/>
          <w:sz w:val="17"/>
        </w:rPr>
        <w:t xml:space="preserve">Middle East, Iran &amp; Supply Chain Risk - </w:t>
      </w:r>
      <w:r>
        <w:rPr>
          <w:rFonts w:ascii="Times New Roman" w:hAnsi="Times New Roman"/>
          <w:b w:val="0"/>
          <w:i w:val="0"/>
          <w:sz w:val="17"/>
        </w:rPr>
        <w:t>Learned how the Iran conflict and broader geopolitical tension can affect supply, pricing, shipping routes, energy-linked costs, fertilizer availability, food distribution and chemical demand.</w:t>
      </w:r>
    </w:p>
    <w:p>
      <w:pPr>
        <w:spacing w:before="0" w:after="0" w:line="206" w:lineRule="auto"/>
        <w:ind w:left="547" w:hanging="259"/>
      </w:pPr>
      <w:r>
        <w:rPr>
          <w:rFonts w:ascii="Times New Roman" w:hAnsi="Times New Roman"/>
          <w:b w:val="0"/>
          <w:i w:val="0"/>
          <w:sz w:val="17"/>
        </w:rPr>
        <w:t>•</w:t>
        <w:tab/>
      </w:r>
      <w:r>
        <w:rPr>
          <w:rFonts w:ascii="Times New Roman" w:hAnsi="Times New Roman"/>
          <w:b/>
          <w:i w:val="0"/>
          <w:sz w:val="17"/>
        </w:rPr>
        <w:t xml:space="preserve">AI, Treasury &amp; Corporate Finance - </w:t>
      </w:r>
      <w:r>
        <w:rPr>
          <w:rFonts w:ascii="Times New Roman" w:hAnsi="Times New Roman"/>
          <w:b w:val="0"/>
          <w:i w:val="0"/>
          <w:sz w:val="17"/>
        </w:rPr>
        <w:t>Connected conference discussions on AI, hedging, FX, rates and commodity exposure to CJPA client work, including cash-flow forecasting, liquidity monitoring, working-capital planning, diligence support and data-driven scenario analysis.</w:t>
      </w:r>
    </w:p>
    <w:p>
      <w:pPr>
        <w:spacing w:before="0" w:after="0" w:line="206" w:lineRule="auto"/>
        <w:ind w:left="547" w:hanging="259"/>
      </w:pPr>
      <w:r>
        <w:rPr>
          <w:rFonts w:ascii="Times New Roman" w:hAnsi="Times New Roman"/>
          <w:b w:val="0"/>
          <w:i w:val="0"/>
          <w:sz w:val="17"/>
        </w:rPr>
        <w:t>•</w:t>
        <w:tab/>
      </w:r>
      <w:r>
        <w:rPr>
          <w:rFonts w:ascii="Times New Roman" w:hAnsi="Times New Roman"/>
          <w:b/>
          <w:i w:val="0"/>
          <w:sz w:val="17"/>
        </w:rPr>
        <w:t xml:space="preserve">M&amp;A, Strategic Capital &amp; Consumer Platforms - </w:t>
      </w:r>
      <w:r>
        <w:rPr>
          <w:rFonts w:ascii="Times New Roman" w:hAnsi="Times New Roman"/>
          <w:b w:val="0"/>
          <w:i w:val="0"/>
          <w:sz w:val="17"/>
        </w:rPr>
        <w:t>Assessed examples such as Mosaic's Vale Fertilizantes acquisition, Corteva's Symborg and Stoller acquisitions, BHP's Jansen potash investment, JBS's U.S.-Brazil capital markets strategy and consumer growth stories from Liquid Death, Zevia, Milo's Tea, SYSTM Foods, NielsenIQ, Kroger, Loblaw and The Chefs' Warehouse.</w:t>
      </w:r>
    </w:p>
    <w:p>
      <w:pPr>
        <w:spacing w:before="20" w:after="0" w:line="216" w:lineRule="auto"/>
      </w:pPr>
      <w:r>
        <w:rPr>
          <w:rFonts w:ascii="Times New Roman" w:hAnsi="Times New Roman" w:eastAsia="Times New Roman"/>
          <w:b/>
          <w:i w:val="0"/>
          <w:sz w:val="17"/>
        </w:rPr>
        <w:t>Conference Overview</w:t>
      </w:r>
    </w:p>
    <w:p>
      <w:pPr>
        <w:spacing w:before="0" w:after="0" w:line="216" w:lineRule="auto"/>
      </w:pPr>
      <w:r>
        <w:rPr>
          <w:rFonts w:ascii="Times New Roman" w:hAnsi="Times New Roman" w:eastAsia="Times New Roman"/>
          <w:b w:val="0"/>
          <w:i w:val="0"/>
          <w:sz w:val="17"/>
        </w:rPr>
        <w:t>The two-day event focused on the following themes:</w:t>
      </w:r>
    </w:p>
    <w:p>
      <w:pPr>
        <w:spacing w:before="0" w:after="0" w:line="206" w:lineRule="auto"/>
        <w:ind w:left="547" w:hanging="259"/>
      </w:pPr>
      <w:r>
        <w:rPr>
          <w:rFonts w:ascii="Times New Roman" w:hAnsi="Times New Roman" w:eastAsia="Times New Roman"/>
          <w:b w:val="0"/>
          <w:i w:val="0"/>
          <w:sz w:val="17"/>
        </w:rPr>
        <w:t>•</w:t>
        <w:tab/>
      </w:r>
      <w:r>
        <w:rPr>
          <w:rFonts w:ascii="Times New Roman" w:hAnsi="Times New Roman" w:eastAsia="Times New Roman"/>
          <w:b/>
          <w:i w:val="0"/>
          <w:sz w:val="17"/>
        </w:rPr>
        <w:t xml:space="preserve">Theme 1: Agriculture, Inputs &amp; Crop Science - </w:t>
      </w:r>
      <w:r>
        <w:rPr>
          <w:rFonts w:ascii="Times New Roman" w:hAnsi="Times New Roman" w:eastAsia="Times New Roman"/>
          <w:b w:val="0"/>
          <w:i w:val="0"/>
          <w:sz w:val="17"/>
        </w:rPr>
        <w:t>Executives and analysts discussed challenged global farm economics, higher energy and crop input costs, fertilizer markets, biofuels policy, seed and crop-chemical innovation and profitability in U.S. agriculture.</w:t>
      </w:r>
    </w:p>
    <w:p>
      <w:pPr>
        <w:spacing w:before="0" w:after="0" w:line="206" w:lineRule="auto"/>
        <w:ind w:left="547" w:hanging="259"/>
      </w:pPr>
      <w:r>
        <w:rPr>
          <w:rFonts w:ascii="Times New Roman" w:hAnsi="Times New Roman" w:eastAsia="Times New Roman"/>
          <w:b w:val="0"/>
          <w:i w:val="0"/>
          <w:sz w:val="17"/>
        </w:rPr>
        <w:t>•</w:t>
        <w:tab/>
      </w:r>
      <w:r>
        <w:rPr>
          <w:rFonts w:ascii="Times New Roman" w:hAnsi="Times New Roman" w:eastAsia="Times New Roman"/>
          <w:b/>
          <w:i w:val="0"/>
          <w:sz w:val="17"/>
        </w:rPr>
        <w:t xml:space="preserve">Theme 2: Food Retail &amp; Distribution - </w:t>
      </w:r>
      <w:r>
        <w:rPr>
          <w:rFonts w:ascii="Times New Roman" w:hAnsi="Times New Roman" w:eastAsia="Times New Roman"/>
          <w:b w:val="0"/>
          <w:i w:val="0"/>
          <w:sz w:val="17"/>
        </w:rPr>
        <w:t>Companies such as Kroger, Loblaw, Sprouts Farmers Markets, KeHE, Core-Mark, Liquid Death, Zevia, Milo’s Tea, SYSTM Foods and NielsenIQ highlighted retail innovation, C-store foodservice growth, beverage platforms, wellness demand and consumer-centric merchandising strategies.</w:t>
      </w:r>
    </w:p>
    <w:p>
      <w:pPr>
        <w:spacing w:before="0" w:after="0" w:line="206" w:lineRule="auto"/>
        <w:ind w:left="547" w:hanging="259"/>
      </w:pPr>
      <w:r>
        <w:rPr>
          <w:rFonts w:ascii="Times New Roman" w:hAnsi="Times New Roman" w:eastAsia="Times New Roman"/>
          <w:b w:val="0"/>
          <w:i w:val="0"/>
          <w:sz w:val="17"/>
        </w:rPr>
        <w:t>•</w:t>
        <w:tab/>
      </w:r>
      <w:r>
        <w:rPr>
          <w:rFonts w:ascii="Times New Roman" w:hAnsi="Times New Roman" w:eastAsia="Times New Roman"/>
          <w:b/>
          <w:i w:val="0"/>
          <w:sz w:val="17"/>
        </w:rPr>
        <w:t xml:space="preserve">Theme 3: Protein, Food Manufacturing &amp; Sustainability - </w:t>
      </w:r>
      <w:r>
        <w:rPr>
          <w:rFonts w:ascii="Times New Roman" w:hAnsi="Times New Roman" w:eastAsia="Times New Roman"/>
          <w:b w:val="0"/>
          <w:i w:val="0"/>
          <w:sz w:val="17"/>
        </w:rPr>
        <w:t>Presentations and panels covered protein's role in the modern diet, B2B food manufacturing, sale-leaseback decisions, circular economy solutions, clean fuels, environmental commodities and the scaling of food platforms.</w:t>
      </w:r>
    </w:p>
    <w:p>
      <w:pPr>
        <w:spacing w:before="0" w:after="0" w:line="206" w:lineRule="auto"/>
        <w:ind w:left="547" w:hanging="259"/>
      </w:pPr>
      <w:r>
        <w:rPr>
          <w:rFonts w:ascii="Times New Roman" w:hAnsi="Times New Roman" w:eastAsia="Times New Roman"/>
          <w:b w:val="0"/>
          <w:i w:val="0"/>
          <w:sz w:val="17"/>
        </w:rPr>
        <w:t>•</w:t>
        <w:tab/>
      </w:r>
      <w:r>
        <w:rPr>
          <w:rFonts w:ascii="Times New Roman" w:hAnsi="Times New Roman" w:eastAsia="Times New Roman"/>
          <w:b/>
          <w:i w:val="0"/>
          <w:sz w:val="17"/>
        </w:rPr>
        <w:t xml:space="preserve">Theme 4: Chemicals, Treasury &amp; Global Trade - </w:t>
      </w:r>
      <w:r>
        <w:rPr>
          <w:rFonts w:ascii="Times New Roman" w:hAnsi="Times New Roman" w:eastAsia="Times New Roman"/>
          <w:b w:val="0"/>
          <w:i w:val="0"/>
          <w:sz w:val="17"/>
        </w:rPr>
        <w:t>Companies and panelists discussed chemicals and crop science trends, inflation-related demand pressure, global trade, hedging, FX, rates, commodity exposure and AI applications in treasury and corporate finance.</w:t>
      </w:r>
    </w:p>
    <w:p>
      <w:pPr>
        <w:spacing w:before="30" w:after="0" w:line="221" w:lineRule="auto"/>
      </w:pPr>
      <w:r>
        <w:rPr>
          <w:rFonts w:ascii="Times New Roman" w:hAnsi="Times New Roman" w:eastAsia="Times New Roman"/>
          <w:b w:val="0"/>
          <w:i w:val="0"/>
          <w:sz w:val="17"/>
        </w:rPr>
        <w:t>After wrapping up its participation in the 21st Annual Global Farm to Market | Chemicals Conference, CJPA reinforced its commitment to supporting companies supplying organic, high-quality products in a sustainable manner.</w:t>
      </w:r>
    </w:p>
    <w:p>
      <w:pPr>
        <w:spacing w:before="30" w:after="0" w:line="204" w:lineRule="auto"/>
      </w:pPr>
      <w:r>
        <w:rPr>
          <w:rFonts w:ascii="Times New Roman" w:hAnsi="Times New Roman" w:eastAsia="Times New Roman"/>
          <w:b/>
          <w:i w:val="0"/>
          <w:sz w:val="17"/>
        </w:rPr>
        <w:t>CJPA Global Advisors</w:t>
      </w:r>
      <w:r>
        <w:rPr>
          <w:rFonts w:ascii="Times New Roman" w:hAnsi="Times New Roman" w:eastAsia="Times New Roman"/>
          <w:b w:val="0"/>
          <w:i w:val="0"/>
          <w:sz w:val="17"/>
        </w:rPr>
        <w:t xml:space="preserve"> is an international consulting and advisory company dedicated to providing companies and clients with raising capital, data-driven scenario planning, strategic advisory services, and analysis to navigate the dynamics of globalization and geopolitical risk. Our services include: raising capital for global infrastructure &amp; renewable energy projects, developing market entry strategies, </w:t>
      </w:r>
      <w:hyperlink r:id="rId9">
        <w:r>
          <w:rPr>
            <w:color w:val="0000FF"/>
            <w:u w:val="single"/>
          </w:rPr>
          <w:t>commissioned research</w:t>
        </w:r>
      </w:hyperlink>
      <w:r>
        <w:rPr>
          <w:rFonts w:ascii="Times New Roman" w:hAnsi="Times New Roman" w:eastAsia="Times New Roman"/>
          <w:b w:val="0"/>
          <w:i w:val="0"/>
          <w:sz w:val="17"/>
        </w:rPr>
        <w:t>, and training and financial literacy.</w:t>
      </w:r>
    </w:p>
    <w:tbl>
      <w:tblPr>
        <w:tblW w:type="auto" w:w="0"/>
        <w:jc w:val="center"/>
        <w:tblLayout w:type="fixed"/>
        <w:tblLook w:firstColumn="1" w:firstRow="1" w:lastColumn="0" w:lastRow="0" w:noHBand="0" w:noVBand="1" w:val="04A0"/>
      </w:tblPr>
      <w:tblGrid>
        <w:gridCol w:w="10656"/>
      </w:tblGrid>
      <w:tr>
        <w:tc>
          <w:tcPr>
            <w:tcW w:type="dxa" w:w="10656"/>
            <w:shd w:fill="F3D51A"/>
            <w:tcBorders>
              <w:top w:val="nil"/>
              <w:left w:val="nil"/>
              <w:bottom w:val="nil"/>
              <w:right w:val="nil"/>
            </w:tcBorders>
            <w:tcMar>
              <w:top w:w="0" w:type="dxa"/>
              <w:left w:w="0" w:type="dxa"/>
              <w:bottom w:w="0" w:type="dxa"/>
              <w:right w:w="0" w:type="dxa"/>
            </w:tcMar>
          </w:tcPr>
          <w:p>
            <w:pPr>
              <w:spacing w:before="0" w:after="0" w:line="240" w:lineRule="auto"/>
            </w:pPr>
          </w:p>
        </w:tc>
      </w:tr>
    </w:tbl>
    <w:p>
      <w:pPr>
        <w:spacing w:before="60" w:after="0" w:line="228" w:lineRule="auto"/>
        <w:jc w:val="center"/>
      </w:pPr>
      <w:r>
        <w:rPr>
          <w:rFonts w:ascii="Times New Roman" w:hAnsi="Times New Roman" w:eastAsia="Times New Roman"/>
          <w:b/>
          <w:sz w:val="16"/>
        </w:rPr>
        <w:t>45 Rockefeller Plaza | New York, NY 10111</w:t>
      </w:r>
    </w:p>
    <w:p>
      <w:pPr>
        <w:spacing w:before="0" w:after="0" w:line="228" w:lineRule="auto"/>
        <w:jc w:val="center"/>
      </w:pPr>
      <w:r>
        <w:rPr>
          <w:rFonts w:ascii="Times New Roman" w:hAnsi="Times New Roman" w:eastAsia="Times New Roman"/>
          <w:b/>
          <w:color w:val="285578"/>
          <w:sz w:val="16"/>
        </w:rPr>
        <w:t xml:space="preserve">P. 646-428-5382 </w:t>
      </w:r>
      <w:r>
        <w:rPr>
          <w:rFonts w:ascii="Times New Roman" w:hAnsi="Times New Roman" w:eastAsia="Times New Roman"/>
          <w:b/>
          <w:sz w:val="16"/>
        </w:rPr>
        <w:t>|</w:t>
      </w:r>
      <w:r>
        <w:rPr>
          <w:rFonts w:ascii="Times New Roman" w:hAnsi="Times New Roman" w:eastAsia="Times New Roman"/>
          <w:b/>
          <w:color w:val="008080"/>
          <w:sz w:val="16"/>
        </w:rPr>
        <w:t xml:space="preserve"> E. earl@cjpa.us </w:t>
      </w:r>
      <w:r>
        <w:rPr>
          <w:rFonts w:ascii="Times New Roman" w:hAnsi="Times New Roman" w:eastAsia="Times New Roman"/>
          <w:b/>
          <w:sz w:val="16"/>
        </w:rPr>
        <w:t>|</w:t>
      </w:r>
      <w:r>
        <w:rPr>
          <w:rFonts w:ascii="Times New Roman" w:hAnsi="Times New Roman" w:eastAsia="Times New Roman"/>
          <w:b/>
          <w:sz w:val="16"/>
        </w:rPr>
        <w:t xml:space="preserve"> www.cjpa.us</w:t>
      </w:r>
    </w:p>
    <w:sectPr w:rsidR="00FC693F" w:rsidRPr="0006063C" w:rsidSect="00034616">
      <w:pgSz w:w="12240" w:h="15840"/>
      <w:pgMar w:top="691" w:right="792" w:bottom="677" w:left="792" w:header="288"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cjp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